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C11" w:rsidRDefault="0045576C">
      <w:pPr>
        <w:spacing w:after="158"/>
        <w:ind w:left="339" w:firstLine="0"/>
        <w:jc w:val="center"/>
      </w:pPr>
      <w:r>
        <w:t xml:space="preserve"> </w:t>
      </w:r>
    </w:p>
    <w:p w:rsidR="00264C11" w:rsidRDefault="0045576C">
      <w:pPr>
        <w:spacing w:after="155"/>
        <w:ind w:left="341" w:firstLine="0"/>
        <w:jc w:val="center"/>
      </w:pPr>
      <w:r>
        <w:t xml:space="preserve"> </w:t>
      </w:r>
    </w:p>
    <w:p w:rsidR="00264C11" w:rsidRDefault="0045576C">
      <w:pPr>
        <w:spacing w:after="0"/>
        <w:ind w:left="292" w:firstLine="0"/>
        <w:jc w:val="center"/>
      </w:pPr>
      <w:r>
        <w:rPr>
          <w:b/>
          <w:sz w:val="36"/>
        </w:rPr>
        <w:t xml:space="preserve">Special Refinances </w:t>
      </w:r>
    </w:p>
    <w:p w:rsidR="00264C11" w:rsidRDefault="0045576C">
      <w:pPr>
        <w:spacing w:after="19"/>
        <w:ind w:left="292" w:firstLine="0"/>
        <w:jc w:val="center"/>
      </w:pPr>
      <w:r>
        <w:t xml:space="preserve">For Investors and Servicers </w:t>
      </w:r>
    </w:p>
    <w:p w:rsidR="00264C11" w:rsidRDefault="0045576C">
      <w:pPr>
        <w:spacing w:after="16"/>
        <w:ind w:left="0" w:firstLine="0"/>
      </w:pPr>
      <w:r>
        <w:t xml:space="preserve"> </w:t>
      </w:r>
    </w:p>
    <w:p w:rsidR="00264C11" w:rsidRDefault="0045576C">
      <w:pPr>
        <w:spacing w:after="52"/>
        <w:ind w:left="-5"/>
      </w:pPr>
      <w:r>
        <w:rPr>
          <w:b/>
          <w:color w:val="00B050"/>
        </w:rPr>
        <w:t xml:space="preserve">Why use this FHA Special Refinance Program? </w:t>
      </w:r>
    </w:p>
    <w:p w:rsidR="00264C11" w:rsidRDefault="0045576C">
      <w:pPr>
        <w:numPr>
          <w:ilvl w:val="0"/>
          <w:numId w:val="1"/>
        </w:numPr>
        <w:ind w:hanging="360"/>
      </w:pPr>
      <w:r>
        <w:t>Best executio</w:t>
      </w:r>
      <w:r w:rsidR="001F39E0">
        <w:t>n – Lender can be paid off at 88%-92</w:t>
      </w:r>
      <w:r>
        <w:t xml:space="preserve">% of today’s value (after all costs)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Refinance proceeds generally much better than foreclosure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Quick resolution compared to other strategies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Loans that pay off cannot default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Promise of refinance can improve current performance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Creates increased contact with borrowers and better knowledge of your portfolio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Good publicity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Happy borrowers stay in their homes at reduced payment </w:t>
      </w:r>
    </w:p>
    <w:p w:rsidR="00264C11" w:rsidRDefault="0045576C">
      <w:pPr>
        <w:spacing w:after="0"/>
        <w:ind w:left="720" w:firstLine="0"/>
      </w:pPr>
      <w:r>
        <w:t xml:space="preserve"> </w:t>
      </w:r>
    </w:p>
    <w:p w:rsidR="00264C11" w:rsidRDefault="0045576C">
      <w:pPr>
        <w:spacing w:after="52"/>
        <w:ind w:left="-5"/>
      </w:pPr>
      <w:r>
        <w:rPr>
          <w:b/>
          <w:color w:val="00B050"/>
        </w:rPr>
        <w:t>Features of the FHA/</w:t>
      </w:r>
      <w:r w:rsidR="0098149F">
        <w:rPr>
          <w:b/>
          <w:color w:val="00B050"/>
        </w:rPr>
        <w:t>CAIRN</w:t>
      </w:r>
      <w:r>
        <w:rPr>
          <w:b/>
          <w:color w:val="00B050"/>
        </w:rPr>
        <w:t xml:space="preserve"> program: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Specific FHA program with expanded underwriting guidelines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500+ FICOs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3 months timely payments under a trial payment plan satisfies payment history requirement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Borrower must be in negative equity position 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Minimum 10% balance forgiveness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Primary residence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Total debt-to-income ratio up either 31/50 or 35/48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Max FHA loan amount - varies by county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LTV 97.75% – CLTV 115.0%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Often results in a significant monthly payment reduction </w:t>
      </w:r>
    </w:p>
    <w:p w:rsidR="00264C11" w:rsidRDefault="0045576C">
      <w:pPr>
        <w:spacing w:after="66"/>
        <w:ind w:left="0" w:firstLine="0"/>
      </w:pPr>
      <w:r>
        <w:rPr>
          <w:sz w:val="16"/>
        </w:rPr>
        <w:t xml:space="preserve"> </w:t>
      </w:r>
    </w:p>
    <w:p w:rsidR="00264C11" w:rsidRDefault="0045576C">
      <w:pPr>
        <w:spacing w:after="52"/>
        <w:ind w:left="-5"/>
      </w:pPr>
      <w:r>
        <w:rPr>
          <w:b/>
          <w:color w:val="00B050"/>
        </w:rPr>
        <w:t xml:space="preserve">Why use </w:t>
      </w:r>
      <w:r w:rsidR="0098149F">
        <w:rPr>
          <w:b/>
          <w:color w:val="00B050"/>
        </w:rPr>
        <w:t>CAIRN</w:t>
      </w:r>
      <w:r>
        <w:rPr>
          <w:b/>
          <w:color w:val="00B050"/>
        </w:rPr>
        <w:t xml:space="preserve">?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Seasoned origination partner with extensive FHA experience </w:t>
      </w:r>
    </w:p>
    <w:p w:rsidR="0098149F" w:rsidRDefault="0098149F">
      <w:pPr>
        <w:numPr>
          <w:ilvl w:val="0"/>
          <w:numId w:val="1"/>
        </w:numPr>
        <w:ind w:hanging="360"/>
      </w:pPr>
      <w:r>
        <w:t>We work with multiple investors so you have 2-4 Options on each loan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Ability to work with low-FICO borrowers </w:t>
      </w:r>
    </w:p>
    <w:p w:rsidR="00264C11" w:rsidRDefault="001F39E0">
      <w:pPr>
        <w:numPr>
          <w:ilvl w:val="0"/>
          <w:numId w:val="1"/>
        </w:numPr>
        <w:ind w:hanging="360"/>
      </w:pPr>
      <w:r>
        <w:t>Licensed to lend in 5</w:t>
      </w:r>
      <w:r w:rsidR="0045576C">
        <w:t xml:space="preserve">0+ states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Business channel dedicated to this short-refinance strategy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Complete portfolio data and related analytical tools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Proven customer contact strategies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Flexibility to integrate with multiple servicing entities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Robust reporting capabilities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Unique process with less borrower confusion </w:t>
      </w:r>
    </w:p>
    <w:p w:rsidR="00264C11" w:rsidRDefault="0045576C">
      <w:pPr>
        <w:numPr>
          <w:ilvl w:val="0"/>
          <w:numId w:val="1"/>
        </w:numPr>
        <w:ind w:hanging="360"/>
      </w:pPr>
      <w:r>
        <w:t xml:space="preserve">We get loans closed </w:t>
      </w:r>
    </w:p>
    <w:p w:rsidR="00264C11" w:rsidRDefault="0045576C">
      <w:pPr>
        <w:spacing w:after="14"/>
        <w:ind w:left="0" w:firstLine="0"/>
      </w:pPr>
      <w:r>
        <w:rPr>
          <w:sz w:val="16"/>
        </w:rPr>
        <w:t xml:space="preserve"> </w:t>
      </w:r>
    </w:p>
    <w:p w:rsidR="00264C11" w:rsidRDefault="0045576C">
      <w:pPr>
        <w:spacing w:after="64"/>
        <w:ind w:left="0" w:firstLine="0"/>
      </w:pPr>
      <w:r>
        <w:rPr>
          <w:sz w:val="16"/>
        </w:rPr>
        <w:t xml:space="preserve"> </w:t>
      </w:r>
    </w:p>
    <w:p w:rsidR="00264C11" w:rsidRDefault="0045576C">
      <w:pPr>
        <w:spacing w:after="17"/>
        <w:ind w:left="301" w:right="2"/>
        <w:jc w:val="center"/>
      </w:pPr>
      <w:r>
        <w:rPr>
          <w:rFonts w:ascii="Arial" w:eastAsia="Arial" w:hAnsi="Arial" w:cs="Arial"/>
        </w:rPr>
        <w:t xml:space="preserve">For more information, contact </w:t>
      </w:r>
    </w:p>
    <w:p w:rsidR="00264C11" w:rsidRDefault="009F10A9">
      <w:pPr>
        <w:spacing w:after="17"/>
        <w:ind w:left="30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Craig Everett</w:t>
      </w:r>
    </w:p>
    <w:p w:rsidR="009F10A9" w:rsidRDefault="009F10A9">
      <w:pPr>
        <w:spacing w:after="17"/>
        <w:ind w:left="301"/>
        <w:jc w:val="center"/>
      </w:pPr>
      <w:r>
        <w:rPr>
          <w:rFonts w:ascii="Arial" w:eastAsia="Arial" w:hAnsi="Arial" w:cs="Arial"/>
        </w:rPr>
        <w:t>503-502-4822</w:t>
      </w:r>
    </w:p>
    <w:p w:rsidR="00264C11" w:rsidRDefault="0098149F" w:rsidP="0098149F">
      <w:pPr>
        <w:spacing w:after="0"/>
        <w:ind w:left="289" w:firstLine="0"/>
        <w:jc w:val="center"/>
      </w:pPr>
      <w:r>
        <w:rPr>
          <w:rFonts w:ascii="Arial" w:eastAsia="Arial" w:hAnsi="Arial" w:cs="Arial"/>
          <w:color w:val="0000FF"/>
          <w:sz w:val="18"/>
          <w:u w:val="single" w:color="0000FF"/>
        </w:rPr>
        <w:t>Craig@cairnadvisors.net</w:t>
      </w:r>
      <w:bookmarkStart w:id="0" w:name="_GoBack"/>
      <w:bookmarkEnd w:id="0"/>
    </w:p>
    <w:sectPr w:rsidR="00264C11">
      <w:pgSz w:w="12240" w:h="15840"/>
      <w:pgMar w:top="287" w:right="1729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486" w:rsidRDefault="00945486">
      <w:pPr>
        <w:spacing w:after="0" w:line="240" w:lineRule="auto"/>
      </w:pPr>
      <w:r>
        <w:separator/>
      </w:r>
    </w:p>
  </w:endnote>
  <w:endnote w:type="continuationSeparator" w:id="0">
    <w:p w:rsidR="00945486" w:rsidRDefault="00945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486" w:rsidRDefault="00945486">
      <w:pPr>
        <w:spacing w:after="0" w:line="240" w:lineRule="auto"/>
      </w:pPr>
      <w:r>
        <w:separator/>
      </w:r>
    </w:p>
  </w:footnote>
  <w:footnote w:type="continuationSeparator" w:id="0">
    <w:p w:rsidR="00945486" w:rsidRDefault="00945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A7720"/>
    <w:multiLevelType w:val="multilevel"/>
    <w:tmpl w:val="9F94A090"/>
    <w:lvl w:ilvl="0">
      <w:numFmt w:val="bullet"/>
      <w:lvlText w:val=""/>
      <w:lvlJc w:val="left"/>
      <w:pPr>
        <w:ind w:left="705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11"/>
    <w:rsid w:val="001F39E0"/>
    <w:rsid w:val="00264C11"/>
    <w:rsid w:val="0045576C"/>
    <w:rsid w:val="00945486"/>
    <w:rsid w:val="0098149F"/>
    <w:rsid w:val="009F10A9"/>
    <w:rsid w:val="00C61798"/>
    <w:rsid w:val="00EB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0B1866-4E83-45C2-A4F9-1E0D2873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Arial"/>
        <w:sz w:val="22"/>
        <w:szCs w:val="22"/>
        <w:lang w:val="en-US" w:eastAsia="ja-JP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11"/>
      <w:ind w:left="302" w:hanging="10"/>
    </w:pPr>
    <w:rPr>
      <w:rFonts w:eastAsia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Pinnacle Bank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lastModifiedBy>Craig Everett</cp:lastModifiedBy>
  <cp:revision>5</cp:revision>
  <dcterms:created xsi:type="dcterms:W3CDTF">2015-09-22T20:06:00Z</dcterms:created>
  <dcterms:modified xsi:type="dcterms:W3CDTF">2015-12-07T04:54:00Z</dcterms:modified>
</cp:coreProperties>
</file>